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rPr>
      </w:pPr>
      <w:bookmarkStart w:colFirst="0" w:colLast="0" w:name="_heading=h.gjdgxs" w:id="0"/>
      <w:bookmarkEnd w:id="0"/>
      <w:r w:rsidDel="00000000" w:rsidR="00000000" w:rsidRPr="00000000">
        <w:rPr>
          <w:rFonts w:ascii="Trebuchet MS" w:cs="Trebuchet MS" w:eastAsia="Trebuchet MS" w:hAnsi="Trebuchet MS"/>
          <w:rtl w:val="0"/>
        </w:rPr>
        <w:t xml:space="preserve">SCHEDA DI APPROFONDIMENTO</w:t>
      </w:r>
      <w:r w:rsidDel="00000000" w:rsidR="00000000" w:rsidRPr="00000000">
        <w:rPr>
          <w:rtl w:val="0"/>
        </w:rPr>
      </w:r>
    </w:p>
    <w:p w:rsidR="00000000" w:rsidDel="00000000" w:rsidP="00000000" w:rsidRDefault="00000000" w:rsidRPr="00000000" w14:paraId="00000002">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CONSERVIAMO LA BRUGHIERA</w:t>
      </w:r>
      <w:r w:rsidDel="00000000" w:rsidR="00000000" w:rsidRPr="00000000">
        <w:rPr>
          <w:rFonts w:ascii="Trebuchet MS" w:cs="Trebuchet MS" w:eastAsia="Trebuchet MS" w:hAnsi="Trebuchet MS"/>
          <w:b w:val="1"/>
          <w:sz w:val="28"/>
          <w:szCs w:val="28"/>
          <w:rtl w:val="0"/>
        </w:rPr>
        <w:t xml:space="preserve">: LE RAGIONI DEL BIOBLITZ</w:t>
      </w: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Una brughiera molto preziosa </w:t>
      </w:r>
    </w:p>
    <w:p w:rsidR="00000000" w:rsidDel="00000000" w:rsidP="00000000" w:rsidRDefault="00000000" w:rsidRPr="00000000" w14:paraId="00000006">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All’interno del Parco Lombardo della Valle del Ticino si trovano le aree di </w:t>
      </w:r>
      <w:r w:rsidDel="00000000" w:rsidR="00000000" w:rsidRPr="00000000">
        <w:rPr>
          <w:rFonts w:ascii="Trebuchet MS" w:cs="Trebuchet MS" w:eastAsia="Trebuchet MS" w:hAnsi="Trebuchet MS"/>
          <w:b w:val="1"/>
          <w:rtl w:val="0"/>
        </w:rPr>
        <w:t xml:space="preserve">brughiera di Malpensa e Lonate</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1"/>
          <w:rtl w:val="0"/>
        </w:rPr>
        <w:t xml:space="preserve"> un </w:t>
      </w:r>
      <w:r w:rsidDel="00000000" w:rsidR="00000000" w:rsidRPr="00000000">
        <w:rPr>
          <w:rFonts w:ascii="Trebuchet MS" w:cs="Trebuchet MS" w:eastAsia="Trebuchet MS" w:hAnsi="Trebuchet MS"/>
          <w:b w:val="1"/>
          <w:u w:val="single"/>
          <w:rtl w:val="0"/>
        </w:rPr>
        <w:t xml:space="preserve">habitat unico</w:t>
      </w:r>
      <w:r w:rsidDel="00000000" w:rsidR="00000000" w:rsidRPr="00000000">
        <w:rPr>
          <w:rFonts w:ascii="Trebuchet MS" w:cs="Trebuchet MS" w:eastAsia="Trebuchet MS" w:hAnsi="Trebuchet MS"/>
          <w:rtl w:val="0"/>
        </w:rPr>
        <w:t xml:space="preserve">, localizzato nel territorio dei comuni di Lonate Pozzolo (VA), Nosate e Castano Primo (MI), a sud dell’aerostazione di Malpensa, tra la Valle del Ticino posta ad ovest e gli abitati di Lonate e Ferno ad est.</w:t>
      </w:r>
    </w:p>
    <w:p w:rsidR="00000000" w:rsidDel="00000000" w:rsidP="00000000" w:rsidRDefault="00000000" w:rsidRPr="00000000" w14:paraId="00000008">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Si tratta dei più estesi e importanti resti delle brughiere lombarde che, nel 1833 si estendevano su circa 6.400 ettari e che oggi (a seguito della drastica riduzione subita negli ultimi due secoli), si estendono su una superficie stimata di </w:t>
      </w:r>
      <w:r w:rsidDel="00000000" w:rsidR="00000000" w:rsidRPr="00000000">
        <w:rPr>
          <w:rFonts w:ascii="Trebuchet MS" w:cs="Trebuchet MS" w:eastAsia="Trebuchet MS" w:hAnsi="Trebuchet MS"/>
          <w:b w:val="1"/>
          <w:rtl w:val="0"/>
        </w:rPr>
        <w:t xml:space="preserve">appena 240 ettari</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9">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L’area delle Brughiere di Malpensa e Lonate si trova ai margini meridionali della distribuzione dell’habitat “</w:t>
      </w:r>
      <w:r w:rsidDel="00000000" w:rsidR="00000000" w:rsidRPr="00000000">
        <w:rPr>
          <w:rFonts w:ascii="Trebuchet MS" w:cs="Trebuchet MS" w:eastAsia="Trebuchet MS" w:hAnsi="Trebuchet MS"/>
          <w:b w:val="1"/>
          <w:rtl w:val="0"/>
        </w:rPr>
        <w:t xml:space="preserve">Lande secche europee</w:t>
      </w:r>
      <w:r w:rsidDel="00000000" w:rsidR="00000000" w:rsidRPr="00000000">
        <w:rPr>
          <w:rFonts w:ascii="Trebuchet MS" w:cs="Trebuchet MS" w:eastAsia="Trebuchet MS" w:hAnsi="Trebuchet MS"/>
          <w:rtl w:val="0"/>
        </w:rPr>
        <w:t xml:space="preserve">” a sud delle Alpi e presenta una </w:t>
      </w:r>
      <w:r w:rsidDel="00000000" w:rsidR="00000000" w:rsidRPr="00000000">
        <w:rPr>
          <w:rFonts w:ascii="Trebuchet MS" w:cs="Trebuchet MS" w:eastAsia="Trebuchet MS" w:hAnsi="Trebuchet MS"/>
          <w:b w:val="1"/>
          <w:rtl w:val="0"/>
        </w:rPr>
        <w:t xml:space="preserve">composizione floristica particolare</w:t>
      </w:r>
      <w:r w:rsidDel="00000000" w:rsidR="00000000" w:rsidRPr="00000000">
        <w:rPr>
          <w:rFonts w:ascii="Trebuchet MS" w:cs="Trebuchet MS" w:eastAsia="Trebuchet MS" w:hAnsi="Trebuchet MS"/>
          <w:rtl w:val="0"/>
        </w:rPr>
        <w:t xml:space="preserve"> che la differenzia dalle brughiere tipicamente centro-europee. Offre, pertanto, un’occasione unica di studio e monitoraggio degli effetti dei cambiamenti climatici.</w:t>
      </w:r>
    </w:p>
    <w:p w:rsidR="00000000" w:rsidDel="00000000" w:rsidP="00000000" w:rsidRDefault="00000000" w:rsidRPr="00000000" w14:paraId="0000000A">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livello faunistico, per quanto concerne l’avifauna, nell’area sono state rilevate 228 specie, delle quali 78 nidificanti. Le specie di interesse comunitario sono 56, tra cui ad esempio, Succiacapre, Averla piccola, Falco pecchiaiolo. Molto importante è anche la presenza di una farfalla, la Ninfa delle Brughiere (</w:t>
      </w:r>
      <w:r w:rsidDel="00000000" w:rsidR="00000000" w:rsidRPr="00000000">
        <w:rPr>
          <w:rFonts w:ascii="Trebuchet MS" w:cs="Trebuchet MS" w:eastAsia="Trebuchet MS" w:hAnsi="Trebuchet MS"/>
          <w:i w:val="1"/>
          <w:rtl w:val="0"/>
        </w:rPr>
        <w:t xml:space="preserve">Coenonympha oedippus</w:t>
      </w:r>
      <w:r w:rsidDel="00000000" w:rsidR="00000000" w:rsidRPr="00000000">
        <w:rPr>
          <w:rFonts w:ascii="Trebuchet MS" w:cs="Trebuchet MS" w:eastAsia="Trebuchet MS" w:hAnsi="Trebuchet MS"/>
          <w:rtl w:val="0"/>
        </w:rPr>
        <w:t xml:space="preserve">), e di una libellula, l’invernina delle Brughiere (</w:t>
      </w:r>
      <w:r w:rsidDel="00000000" w:rsidR="00000000" w:rsidRPr="00000000">
        <w:rPr>
          <w:rFonts w:ascii="Trebuchet MS" w:cs="Trebuchet MS" w:eastAsia="Trebuchet MS" w:hAnsi="Trebuchet MS"/>
          <w:i w:val="1"/>
          <w:rtl w:val="0"/>
        </w:rPr>
        <w:t xml:space="preserve">Sympecma paedisca</w:t>
      </w:r>
      <w:r w:rsidDel="00000000" w:rsidR="00000000" w:rsidRPr="00000000">
        <w:rPr>
          <w:rFonts w:ascii="Trebuchet MS" w:cs="Trebuchet MS" w:eastAsia="Trebuchet MS" w:hAnsi="Trebuchet MS"/>
          <w:rtl w:val="0"/>
        </w:rPr>
        <w:t xml:space="preserve">), entrambe di interesse comunitario, nonché la presenza di comunità licheniche terricole assai rare in Pianura.</w:t>
      </w:r>
    </w:p>
    <w:p w:rsidR="00000000" w:rsidDel="00000000" w:rsidP="00000000" w:rsidRDefault="00000000" w:rsidRPr="00000000" w14:paraId="0000000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b w:val="1"/>
          <w:strike w:val="1"/>
          <w:sz w:val="24"/>
          <w:szCs w:val="24"/>
        </w:rPr>
      </w:pPr>
      <w:r w:rsidDel="00000000" w:rsidR="00000000" w:rsidRPr="00000000">
        <w:rPr>
          <w:rFonts w:ascii="Trebuchet MS" w:cs="Trebuchet MS" w:eastAsia="Trebuchet MS" w:hAnsi="Trebuchet MS"/>
          <w:b w:val="1"/>
          <w:sz w:val="24"/>
          <w:szCs w:val="24"/>
          <w:rtl w:val="0"/>
        </w:rPr>
        <w:t xml:space="preserve">La Rete Natura 2000 </w:t>
      </w:r>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È una rete ecologica europea istituita ai sensi della Direttiva 92/43/CEE Habitat per garantire il </w:t>
      </w:r>
      <w:r w:rsidDel="00000000" w:rsidR="00000000" w:rsidRPr="00000000">
        <w:rPr>
          <w:rFonts w:ascii="Trebuchet MS" w:cs="Trebuchet MS" w:eastAsia="Trebuchet MS" w:hAnsi="Trebuchet MS"/>
          <w:b w:val="1"/>
          <w:rtl w:val="0"/>
        </w:rPr>
        <w:t xml:space="preserve">mantenimento a lungo termine degli habitat naturali</w:t>
      </w:r>
      <w:r w:rsidDel="00000000" w:rsidR="00000000" w:rsidRPr="00000000">
        <w:rPr>
          <w:rFonts w:ascii="Trebuchet MS" w:cs="Trebuchet MS" w:eastAsia="Trebuchet MS" w:hAnsi="Trebuchet MS"/>
          <w:rtl w:val="0"/>
        </w:rPr>
        <w:t xml:space="preserve"> e delle specie di flora e fauna minacciati o rari a livello comunitario.</w:t>
      </w:r>
    </w:p>
    <w:p w:rsidR="00000000" w:rsidDel="00000000" w:rsidP="00000000" w:rsidRDefault="00000000" w:rsidRPr="00000000" w14:paraId="00000010">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Include Zone Speciali di Conservazione (ZSC), istituite dagli Stati Membri secondo quanto stabilito dalla Direttiva Habitat e Zone di Protezione Speciale (ZPS), istituite ai sensi della Direttiva Uccelli.</w:t>
      </w:r>
    </w:p>
    <w:p w:rsidR="00000000" w:rsidDel="00000000" w:rsidP="00000000" w:rsidRDefault="00000000" w:rsidRPr="00000000" w14:paraId="00000011">
      <w:pPr>
        <w:jc w:val="both"/>
        <w:rPr>
          <w:rFonts w:ascii="Trebuchet MS" w:cs="Trebuchet MS" w:eastAsia="Trebuchet MS" w:hAnsi="Trebuchet MS"/>
          <w:color w:val="ff0000"/>
        </w:rPr>
      </w:pPr>
      <w:r w:rsidDel="00000000" w:rsidR="00000000" w:rsidRPr="00000000">
        <w:rPr>
          <w:rFonts w:ascii="Trebuchet MS" w:cs="Trebuchet MS" w:eastAsia="Trebuchet MS" w:hAnsi="Trebuchet MS"/>
          <w:rtl w:val="0"/>
        </w:rPr>
        <w:t xml:space="preserve">Queste aree sono “speciali” perché qui sono ancora presenti habitat ben conservati e vivono specie animali e vegetali importanti per il mantenimento della biodiversità di tutta Europa.</w:t>
      </w:r>
      <w:r w:rsidDel="00000000" w:rsidR="00000000" w:rsidRPr="00000000">
        <w:rPr>
          <w:rtl w:val="0"/>
        </w:rPr>
      </w:r>
    </w:p>
    <w:p w:rsidR="00000000" w:rsidDel="00000000" w:rsidP="00000000" w:rsidRDefault="00000000" w:rsidRPr="00000000" w14:paraId="00000012">
      <w:pPr>
        <w:jc w:val="both"/>
        <w:rPr>
          <w:rFonts w:ascii="Trebuchet MS" w:cs="Trebuchet MS" w:eastAsia="Trebuchet MS" w:hAnsi="Trebuchet MS"/>
        </w:rPr>
      </w:pPr>
      <w:bookmarkStart w:colFirst="0" w:colLast="0" w:name="_heading=h.30j0zll" w:id="1"/>
      <w:bookmarkEnd w:id="1"/>
      <w:r w:rsidDel="00000000" w:rsidR="00000000" w:rsidRPr="00000000">
        <w:rPr>
          <w:rFonts w:ascii="Trebuchet MS" w:cs="Trebuchet MS" w:eastAsia="Trebuchet MS" w:hAnsi="Trebuchet MS"/>
          <w:rtl w:val="0"/>
        </w:rPr>
        <w:t xml:space="preserve">Le aree di brughiera di Malpensa e Lonate ospitano un habitat di </w:t>
      </w:r>
      <w:r w:rsidDel="00000000" w:rsidR="00000000" w:rsidRPr="00000000">
        <w:rPr>
          <w:rFonts w:ascii="Trebuchet MS" w:cs="Trebuchet MS" w:eastAsia="Trebuchet MS" w:hAnsi="Trebuchet MS"/>
          <w:b w:val="1"/>
          <w:rtl w:val="0"/>
        </w:rPr>
        <w:t xml:space="preserve">riconosciuto interesse conservazionistico</w:t>
      </w:r>
      <w:r w:rsidDel="00000000" w:rsidR="00000000" w:rsidRPr="00000000">
        <w:rPr>
          <w:rFonts w:ascii="Trebuchet MS" w:cs="Trebuchet MS" w:eastAsia="Trebuchet MS" w:hAnsi="Trebuchet MS"/>
          <w:rtl w:val="0"/>
        </w:rPr>
        <w:t xml:space="preserve"> anche a livello comunitario (ai sensi della Direttiva 43/92/CEE, nota comunemente come Direttiva Habitat) con il nome “Lande secche europee” (</w:t>
      </w:r>
      <w:r w:rsidDel="00000000" w:rsidR="00000000" w:rsidRPr="00000000">
        <w:rPr>
          <w:rFonts w:ascii="Trebuchet MS" w:cs="Trebuchet MS" w:eastAsia="Trebuchet MS" w:hAnsi="Trebuchet MS"/>
          <w:i w:val="1"/>
          <w:rtl w:val="0"/>
        </w:rPr>
        <w:t xml:space="preserve">European dry heaths</w:t>
      </w:r>
      <w:r w:rsidDel="00000000" w:rsidR="00000000" w:rsidRPr="00000000">
        <w:rPr>
          <w:rFonts w:ascii="Trebuchet MS" w:cs="Trebuchet MS" w:eastAsia="Trebuchet MS" w:hAnsi="Trebuchet MS"/>
          <w:rtl w:val="0"/>
        </w:rPr>
        <w:t xml:space="preserve"> – cod. 4030). Eppure fin dagli anni ’90, all’atto della definizione dei perimetri delle aree da individuare  come  Siti  di Importanza  Comunitaria (SIC), il  biotopo  della  brughiera  di  Malpensa è  stato  ignorato,  pur presentando tutte le caratteristiche di integrità, rappresentatività e valore naturalistico richieste. </w:t>
      </w:r>
    </w:p>
    <w:p w:rsidR="00000000" w:rsidDel="00000000" w:rsidP="00000000" w:rsidRDefault="00000000" w:rsidRPr="00000000" w14:paraId="00000013">
      <w:pPr>
        <w:jc w:val="both"/>
        <w:rPr>
          <w:rFonts w:ascii="Trebuchet MS" w:cs="Trebuchet MS" w:eastAsia="Trebuchet MS" w:hAnsi="Trebuchet MS"/>
          <w:strike w:val="1"/>
        </w:rPr>
      </w:pPr>
      <w:r w:rsidDel="00000000" w:rsidR="00000000" w:rsidRPr="00000000">
        <w:rPr>
          <w:rFonts w:ascii="Trebuchet MS" w:cs="Trebuchet MS" w:eastAsia="Trebuchet MS" w:hAnsi="Trebuchet MS"/>
          <w:rtl w:val="0"/>
        </w:rPr>
        <w:t xml:space="preserve">Le istanze successive, presentate a partire dal 2011 dal Parco Lombardo della Valle del Ticino alla Regione Lombardia e all’ex Ministero dell’Ambiente e della Tutela del Territorio e del Mare, affinché si istituisse nell’area delle Brughiere di Malpensa e Lonate un SIC</w:t>
      </w:r>
      <w:r w:rsidDel="00000000" w:rsidR="00000000" w:rsidRPr="00000000">
        <w:rPr>
          <w:rFonts w:ascii="Trebuchet MS" w:cs="Trebuchet MS" w:eastAsia="Trebuchet MS" w:hAnsi="Trebuchet MS"/>
          <w:color w:val="ff0000"/>
          <w:rtl w:val="0"/>
        </w:rPr>
        <w:t xml:space="preserve"> </w:t>
      </w:r>
      <w:r w:rsidDel="00000000" w:rsidR="00000000" w:rsidRPr="00000000">
        <w:rPr>
          <w:rFonts w:ascii="Trebuchet MS" w:cs="Trebuchet MS" w:eastAsia="Trebuchet MS" w:hAnsi="Trebuchet MS"/>
          <w:rtl w:val="0"/>
        </w:rPr>
        <w:t xml:space="preserve">della Rete Natura 2000, non sono state accolte.</w:t>
      </w:r>
      <w:r w:rsidDel="00000000" w:rsidR="00000000" w:rsidRPr="00000000">
        <w:rPr>
          <w:rFonts w:ascii="Trebuchet MS" w:cs="Trebuchet MS" w:eastAsia="Trebuchet MS" w:hAnsi="Trebuchet MS"/>
          <w:strike w:val="1"/>
          <w:rtl w:val="0"/>
        </w:rPr>
        <w:t xml:space="preserve"> </w:t>
      </w:r>
    </w:p>
    <w:p w:rsidR="00000000" w:rsidDel="00000000" w:rsidP="00000000" w:rsidRDefault="00000000" w:rsidRPr="00000000" w14:paraId="00000014">
      <w:pPr>
        <w:shd w:fill="ffffff"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shd w:fill="ffffff"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LIFE Drylands</w:t>
      </w:r>
      <w:r w:rsidDel="00000000" w:rsidR="00000000" w:rsidRPr="00000000">
        <w:rPr>
          <w:rtl w:val="0"/>
        </w:rPr>
      </w:r>
    </w:p>
    <w:p w:rsidR="00000000" w:rsidDel="00000000" w:rsidP="00000000" w:rsidRDefault="00000000" w:rsidRPr="00000000" w14:paraId="00000017">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8">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LIFE Drylands </w:t>
      </w:r>
      <w:r w:rsidDel="00000000" w:rsidR="00000000" w:rsidRPr="00000000">
        <w:rPr>
          <w:rFonts w:ascii="Trebuchet MS" w:cs="Trebuchet MS" w:eastAsia="Trebuchet MS" w:hAnsi="Trebuchet MS"/>
          <w:rtl w:val="0"/>
        </w:rPr>
        <w:t xml:space="preserve">(LIFE18 NAT/IT/000803 – www.lifedrylands.eu) è il progetto ideato e condotto dall’Università di Pavia (Dipartimento di Scienze della Terra e dell’Ambiente), con l’obiettivo di </w:t>
      </w:r>
      <w:r w:rsidDel="00000000" w:rsidR="00000000" w:rsidRPr="00000000">
        <w:rPr>
          <w:rFonts w:ascii="Trebuchet MS" w:cs="Trebuchet MS" w:eastAsia="Trebuchet MS" w:hAnsi="Trebuchet MS"/>
          <w:b w:val="1"/>
          <w:rtl w:val="0"/>
        </w:rPr>
        <w:t xml:space="preserve">ripristinare gli habitat delle zone aride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a rischio in Pianura Padana </w:t>
      </w:r>
      <w:r w:rsidDel="00000000" w:rsidR="00000000" w:rsidRPr="00000000">
        <w:rPr>
          <w:rFonts w:ascii="Trebuchet MS" w:cs="Trebuchet MS" w:eastAsia="Trebuchet MS" w:hAnsi="Trebuchet MS"/>
          <w:rtl w:val="0"/>
        </w:rPr>
        <w:t xml:space="preserve">e produrre linee guida per la loro conservazione e futura gestione.</w:t>
      </w:r>
    </w:p>
    <w:p w:rsidR="00000000" w:rsidDel="00000000" w:rsidP="00000000" w:rsidRDefault="00000000" w:rsidRPr="00000000" w14:paraId="00000019">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Finanziato dall’Unione Europea con 1,3 milioni di euro e cofinanziato da Fondazione Cariplo, si intitola “Restauro delle praterie e delle brughiere xero-acidofile continentali in siti Natura 2000 del Piemonte e della Lombardia” ed è attuato assieme a una rete di partner che comprende la Rete degli Orti Botanici della Lombardia, l’Università di Bologna e diversi enti parco.</w:t>
      </w:r>
    </w:p>
    <w:p w:rsidR="00000000" w:rsidDel="00000000" w:rsidP="00000000" w:rsidRDefault="00000000" w:rsidRPr="00000000" w14:paraId="0000001A">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Per </w:t>
      </w:r>
      <w:r w:rsidDel="00000000" w:rsidR="00000000" w:rsidRPr="00000000">
        <w:rPr>
          <w:rFonts w:ascii="Trebuchet MS" w:cs="Trebuchet MS" w:eastAsia="Trebuchet MS" w:hAnsi="Trebuchet MS"/>
          <w:i w:val="1"/>
          <w:rtl w:val="0"/>
        </w:rPr>
        <w:t xml:space="preserve">drylands</w:t>
      </w:r>
      <w:r w:rsidDel="00000000" w:rsidR="00000000" w:rsidRPr="00000000">
        <w:rPr>
          <w:rFonts w:ascii="Trebuchet MS" w:cs="Trebuchet MS" w:eastAsia="Trebuchet MS" w:hAnsi="Trebuchet MS"/>
          <w:rtl w:val="0"/>
        </w:rPr>
        <w:t xml:space="preserve"> (“zone aride”) si intendono aree quali </w:t>
      </w:r>
      <w:r w:rsidDel="00000000" w:rsidR="00000000" w:rsidRPr="00000000">
        <w:rPr>
          <w:rFonts w:ascii="Trebuchet MS" w:cs="Trebuchet MS" w:eastAsia="Trebuchet MS" w:hAnsi="Trebuchet MS"/>
          <w:b w:val="1"/>
          <w:rtl w:val="0"/>
        </w:rPr>
        <w:t xml:space="preserve">praterie e brughiere</w:t>
      </w:r>
      <w:r w:rsidDel="00000000" w:rsidR="00000000" w:rsidRPr="00000000">
        <w:rPr>
          <w:rFonts w:ascii="Trebuchet MS" w:cs="Trebuchet MS" w:eastAsia="Trebuchet MS" w:hAnsi="Trebuchet MS"/>
          <w:rtl w:val="0"/>
        </w:rPr>
        <w:t xml:space="preserve"> con suoli sabbiosi o ghiaiosi, non adatte alle attività agricole e spesso abbandonate, ma importantissime per l’ecosistema e quindi per la salute delle specie animali, vegetali e dell’uomo.</w:t>
      </w:r>
    </w:p>
    <w:p w:rsidR="00000000" w:rsidDel="00000000" w:rsidP="00000000" w:rsidRDefault="00000000" w:rsidRPr="00000000" w14:paraId="0000001B">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Le aree di intervento si trovano in Lombardia e Piemonte, in un ambito territoriale che intercetta i fiumi Sesia, Ticino e Po, in 8 siti </w:t>
      </w:r>
      <w:r w:rsidDel="00000000" w:rsidR="00000000" w:rsidRPr="00000000">
        <w:rPr>
          <w:rFonts w:ascii="Trebuchet MS" w:cs="Trebuchet MS" w:eastAsia="Trebuchet MS" w:hAnsi="Trebuchet MS"/>
          <w:b w:val="1"/>
          <w:rtl w:val="0"/>
        </w:rPr>
        <w:t xml:space="preserve">Natura 2000</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C">
      <w:pPr>
        <w:jc w:val="both"/>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Il progetto prevede un articolato e complesso programma di interventi, che rispondono a diversi obiettivi, tra cui il </w:t>
      </w:r>
      <w:r w:rsidDel="00000000" w:rsidR="00000000" w:rsidRPr="00000000">
        <w:rPr>
          <w:rFonts w:ascii="Trebuchet MS" w:cs="Trebuchet MS" w:eastAsia="Trebuchet MS" w:hAnsi="Trebuchet MS"/>
          <w:b w:val="1"/>
          <w:rtl w:val="0"/>
        </w:rPr>
        <w:t xml:space="preserve">restauro della struttura degli habitat</w:t>
      </w:r>
      <w:r w:rsidDel="00000000" w:rsidR="00000000" w:rsidRPr="00000000">
        <w:rPr>
          <w:rFonts w:ascii="Trebuchet MS" w:cs="Trebuchet MS" w:eastAsia="Trebuchet MS" w:hAnsi="Trebuchet MS"/>
          <w:rtl w:val="0"/>
        </w:rPr>
        <w:t xml:space="preserve"> (strato di muschi e licheni, strato di piante erbacee, strato arbustivo), l’</w:t>
      </w:r>
      <w:r w:rsidDel="00000000" w:rsidR="00000000" w:rsidRPr="00000000">
        <w:rPr>
          <w:rFonts w:ascii="Trebuchet MS" w:cs="Trebuchet MS" w:eastAsia="Trebuchet MS" w:hAnsi="Trebuchet MS"/>
          <w:b w:val="1"/>
          <w:rtl w:val="0"/>
        </w:rPr>
        <w:t xml:space="preserve">incremento della biodiversità</w:t>
      </w:r>
      <w:r w:rsidDel="00000000" w:rsidR="00000000" w:rsidRPr="00000000">
        <w:rPr>
          <w:rFonts w:ascii="Trebuchet MS" w:cs="Trebuchet MS" w:eastAsia="Trebuchet MS" w:hAnsi="Trebuchet MS"/>
          <w:rtl w:val="0"/>
        </w:rPr>
        <w:t xml:space="preserve"> vegetale e, conseguentemente, della fauna tipica, l’</w:t>
      </w:r>
      <w:r w:rsidDel="00000000" w:rsidR="00000000" w:rsidRPr="00000000">
        <w:rPr>
          <w:rFonts w:ascii="Trebuchet MS" w:cs="Trebuchet MS" w:eastAsia="Trebuchet MS" w:hAnsi="Trebuchet MS"/>
          <w:b w:val="1"/>
          <w:rtl w:val="0"/>
        </w:rPr>
        <w:t xml:space="preserve">ampliamento</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o creazione di nuove zone</w:t>
      </w:r>
      <w:r w:rsidDel="00000000" w:rsidR="00000000" w:rsidRPr="00000000">
        <w:rPr>
          <w:rFonts w:ascii="Trebuchet MS" w:cs="Trebuchet MS" w:eastAsia="Trebuchet MS" w:hAnsi="Trebuchet MS"/>
          <w:rtl w:val="0"/>
        </w:rPr>
        <w:t xml:space="preserve"> con caratteristiche simili, la messa a punto di </w:t>
      </w:r>
      <w:r w:rsidDel="00000000" w:rsidR="00000000" w:rsidRPr="00000000">
        <w:rPr>
          <w:rFonts w:ascii="Trebuchet MS" w:cs="Trebuchet MS" w:eastAsia="Trebuchet MS" w:hAnsi="Trebuchet MS"/>
          <w:b w:val="1"/>
          <w:rtl w:val="0"/>
        </w:rPr>
        <w:t xml:space="preserve">linee guida</w:t>
      </w:r>
      <w:r w:rsidDel="00000000" w:rsidR="00000000" w:rsidRPr="00000000">
        <w:rPr>
          <w:rFonts w:ascii="Trebuchet MS" w:cs="Trebuchet MS" w:eastAsia="Trebuchet MS" w:hAnsi="Trebuchet MS"/>
          <w:rtl w:val="0"/>
        </w:rPr>
        <w:t xml:space="preserve"> per la gestione e il monitoraggio degli habitat e infine la sensibilizzazione intorno all’indispensabile ruolo degli habitat, spesso di </w:t>
      </w:r>
      <w:r w:rsidDel="00000000" w:rsidR="00000000" w:rsidRPr="00000000">
        <w:rPr>
          <w:rFonts w:ascii="Trebuchet MS" w:cs="Trebuchet MS" w:eastAsia="Trebuchet MS" w:hAnsi="Trebuchet MS"/>
          <w:b w:val="1"/>
          <w:rtl w:val="0"/>
        </w:rPr>
        <w:t xml:space="preserve">singolare e sorprendente bellezza</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01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____</w:t>
      </w:r>
    </w:p>
    <w:p w:rsidR="00000000" w:rsidDel="00000000" w:rsidP="00000000" w:rsidRDefault="00000000" w:rsidRPr="00000000" w14:paraId="0000001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Ufficio stampa Armando Barone +39 328.3354999 </w:t>
      </w:r>
      <w:hyperlink r:id="rId7">
        <w:r w:rsidDel="00000000" w:rsidR="00000000" w:rsidRPr="00000000">
          <w:rPr>
            <w:rFonts w:ascii="Trebuchet MS" w:cs="Trebuchet MS" w:eastAsia="Trebuchet MS" w:hAnsi="Trebuchet MS"/>
            <w:color w:val="0000ff"/>
            <w:u w:val="single"/>
            <w:rtl w:val="0"/>
          </w:rPr>
          <w:t xml:space="preserve">armando.barone@echo.pv.it</w:t>
        </w:r>
      </w:hyperlink>
      <w:r w:rsidDel="00000000" w:rsidR="00000000" w:rsidRPr="00000000">
        <w:rPr>
          <w:rFonts w:ascii="Trebuchet MS" w:cs="Trebuchet MS" w:eastAsia="Trebuchet MS" w:hAnsi="Trebuchet MS"/>
          <w:rtl w:val="0"/>
        </w:rPr>
        <w:t xml:space="preserve"> </w:t>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rFonts w:ascii="Trebuchet MS" w:cs="Trebuchet MS" w:eastAsia="Trebuchet MS" w:hAnsi="Trebuchet MS"/>
        <w:sz w:val="20"/>
        <w:szCs w:val="20"/>
      </w:rPr>
    </w:pPr>
    <w:r w:rsidDel="00000000" w:rsidR="00000000" w:rsidRPr="00000000">
      <w:rPr/>
      <w:drawing>
        <wp:inline distB="114300" distT="114300" distL="114300" distR="114300">
          <wp:extent cx="5731200" cy="1498600"/>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31200" cy="1498600"/>
                  </a:xfrm>
                  <a:prstGeom prst="rect"/>
                  <a:ln/>
                </pic:spPr>
              </pic:pic>
            </a:graphicData>
          </a:graphic>
        </wp:inline>
      </w:drawing>
    </w:r>
    <w:r w:rsidDel="00000000" w:rsidR="00000000" w:rsidRPr="00000000">
      <w:rPr>
        <w:rFonts w:ascii="Trebuchet MS" w:cs="Trebuchet MS" w:eastAsia="Trebuchet MS" w:hAnsi="Trebuchet MS"/>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5731200" cy="1816100"/>
          <wp:effectExtent b="0" l="0" r="0" t="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816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style>
  <w:style w:type="paragraph" w:styleId="Titolo1">
    <w:name w:val="heading 1"/>
    <w:basedOn w:val="Normale"/>
    <w:next w:val="Normale"/>
    <w:pPr>
      <w:keepNext w:val="1"/>
      <w:keepLines w:val="1"/>
      <w:spacing w:after="120" w:before="400"/>
      <w:outlineLvl w:val="0"/>
    </w:pPr>
    <w:rPr>
      <w:sz w:val="40"/>
      <w:szCs w:val="40"/>
    </w:rPr>
  </w:style>
  <w:style w:type="paragraph" w:styleId="Titolo2">
    <w:name w:val="heading 2"/>
    <w:basedOn w:val="Normale"/>
    <w:next w:val="Normale"/>
    <w:pPr>
      <w:keepNext w:val="1"/>
      <w:keepLines w:val="1"/>
      <w:spacing w:after="120" w:before="360"/>
      <w:outlineLvl w:val="1"/>
    </w:pPr>
    <w:rPr>
      <w:sz w:val="32"/>
      <w:szCs w:val="32"/>
    </w:rPr>
  </w:style>
  <w:style w:type="paragraph" w:styleId="Titolo3">
    <w:name w:val="heading 3"/>
    <w:basedOn w:val="Normale"/>
    <w:next w:val="Normale"/>
    <w:pPr>
      <w:keepNext w:val="1"/>
      <w:keepLines w:val="1"/>
      <w:spacing w:after="80" w:before="320"/>
      <w:outlineLvl w:val="2"/>
    </w:pPr>
    <w:rPr>
      <w:color w:val="434343"/>
      <w:sz w:val="28"/>
      <w:szCs w:val="28"/>
    </w:rPr>
  </w:style>
  <w:style w:type="paragraph" w:styleId="Titolo4">
    <w:name w:val="heading 4"/>
    <w:basedOn w:val="Normale"/>
    <w:next w:val="Normale"/>
    <w:pPr>
      <w:keepNext w:val="1"/>
      <w:keepLines w:val="1"/>
      <w:spacing w:after="80" w:before="280"/>
      <w:outlineLvl w:val="3"/>
    </w:pPr>
    <w:rPr>
      <w:color w:val="666666"/>
      <w:sz w:val="24"/>
      <w:szCs w:val="24"/>
    </w:rPr>
  </w:style>
  <w:style w:type="paragraph" w:styleId="Titolo5">
    <w:name w:val="heading 5"/>
    <w:basedOn w:val="Normale"/>
    <w:next w:val="Normale"/>
    <w:pPr>
      <w:keepNext w:val="1"/>
      <w:keepLines w:val="1"/>
      <w:spacing w:after="80" w:before="240"/>
      <w:outlineLvl w:val="4"/>
    </w:pPr>
    <w:rPr>
      <w:color w:val="666666"/>
    </w:rPr>
  </w:style>
  <w:style w:type="paragraph" w:styleId="Titolo6">
    <w:name w:val="heading 6"/>
    <w:basedOn w:val="Normale"/>
    <w:next w:val="Normale"/>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character" w:styleId="Collegamentoipertestuale">
    <w:name w:val="Hyperlink"/>
    <w:basedOn w:val="Carpredefinitoparagrafo"/>
    <w:uiPriority w:val="99"/>
    <w:unhideWhenUsed w:val="1"/>
    <w:rsid w:val="00AE383E"/>
    <w:rPr>
      <w:color w:val="0000ff" w:themeColor="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rmando.barone@echo.pv.i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h7dr8lwWHpu4+3+zuPip082DQ==">AMUW2mW5vtSW8cbU07kwJY3X64J5jwGkt8C5Lz/1epffPKpZBbyEJMJXK7TbHuiFdwnNcW9LKxF/yeN/DLc/r5qCecP1oH+MYq4Fl8eA5/fQfQxvCFI5fnDoU+kqQwjO7DQy2u3ZvsXu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2021-12-07T21:19:00Z</dcterms:created>
  <dc:creator>Silvia</dc:creator>
</cp:coreProperties>
</file>